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left="3600" w:firstLine="720"/>
        <w:jc w:val="right"/>
        <w:rPr>
          <w:rFonts w:hint="default"/>
          <w:i/>
          <w:sz w:val="20"/>
          <w:szCs w:val="20"/>
          <w:lang w:val="ru-RU"/>
        </w:rPr>
      </w:pPr>
      <w:r>
        <w:rPr>
          <w:rFonts w:hint="default"/>
          <w:i/>
          <w:sz w:val="20"/>
          <w:szCs w:val="20"/>
        </w:rPr>
        <w:t xml:space="preserve">Приложение № </w:t>
      </w:r>
      <w:r>
        <w:rPr>
          <w:rFonts w:hint="default"/>
          <w:i/>
          <w:sz w:val="20"/>
          <w:szCs w:val="20"/>
          <w:lang w:val="ru-RU"/>
        </w:rPr>
        <w:t>10</w:t>
      </w:r>
    </w:p>
    <w:p>
      <w:pPr>
        <w:spacing w:beforeLines="0" w:afterLines="0"/>
        <w:jc w:val="right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к Правилам от</w:t>
      </w:r>
      <w:r>
        <w:rPr>
          <w:rFonts w:hint="default"/>
          <w:sz w:val="20"/>
          <w:szCs w:val="20"/>
          <w:lang w:val="ru-RU"/>
        </w:rPr>
        <w:t xml:space="preserve"> 01.09.2023г., приказ 22-пф</w:t>
      </w:r>
    </w:p>
    <w:tbl>
      <w:tblPr>
        <w:tblStyle w:val="4"/>
        <w:tblpPr w:leftFromText="180" w:rightFromText="180" w:vertAnchor="page" w:horzAnchor="page" w:tblpX="1202" w:tblpY="1354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8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</w:tcPr>
          <w:p>
            <w:pPr>
              <w:pStyle w:val="7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>
              <w:drawing>
                <wp:inline distT="0" distB="0" distL="0" distR="0">
                  <wp:extent cx="790575" cy="56197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1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Общество с ограниченной ответственностью «Силуэт»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Медицинский центр «Авис»</w:t>
            </w:r>
          </w:p>
          <w:p>
            <w:pPr>
              <w:spacing w:line="240" w:lineRule="atLeast"/>
              <w:jc w:val="center"/>
              <w:rPr>
                <w:rStyle w:val="14"/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Style w:val="14"/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г. Санкт-Петербург, г. Сестрорецк 197701,ул. Всеволода Боброва, д. 39, лит. А, пом 1Н;</w:t>
            </w:r>
          </w:p>
          <w:p>
            <w:pPr>
              <w:pStyle w:val="15"/>
              <w:spacing w:line="240" w:lineRule="atLeast"/>
              <w:jc w:val="center"/>
              <w:rPr>
                <w:rStyle w:val="5"/>
                <w:b/>
                <w:color w:val="000000"/>
                <w:sz w:val="20"/>
                <w:u w:val="none"/>
                <w:lang w:val="en-US"/>
              </w:rPr>
            </w:pPr>
            <w:r>
              <w:rPr>
                <w:rStyle w:val="14"/>
                <w:rFonts w:hint="default" w:ascii="Times New Roman" w:hAnsi="Times New Roman" w:eastAsia="Times New Roman CYR" w:cs="Times New Roman"/>
                <w:color w:val="auto"/>
                <w:sz w:val="20"/>
                <w:szCs w:val="20"/>
                <w:lang w:val="ru-RU"/>
              </w:rPr>
              <w:t xml:space="preserve">тел.  </w:t>
            </w:r>
            <w:r>
              <w:rPr>
                <w:rStyle w:val="14"/>
                <w:rFonts w:hint="default" w:ascii="Times New Roman" w:hAnsi="Times New Roman" w:eastAsia="Times New Roman CYR" w:cs="Times New Roman"/>
                <w:color w:val="auto"/>
                <w:sz w:val="20"/>
                <w:szCs w:val="20"/>
              </w:rPr>
              <w:t>+7 900 642-84-00;</w:t>
            </w:r>
            <w:r>
              <w:rPr>
                <w:rStyle w:val="14"/>
                <w:rFonts w:hint="default" w:eastAsia="Times New Roman CYR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Style w:val="14"/>
                <w:rFonts w:hint="default" w:ascii="Times New Roman" w:hAnsi="Times New Roman" w:eastAsia="Times New Roman CYR" w:cs="Times New Roman"/>
                <w:color w:val="auto"/>
                <w:sz w:val="20"/>
                <w:szCs w:val="20"/>
              </w:rPr>
              <w:t xml:space="preserve">e-mail: </w: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instrText xml:space="preserve"> HYPERLINK "mailto:avismedcentr@mail.ru" </w:instrTex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  <w:color w:val="0000FF"/>
                <w:sz w:val="20"/>
                <w:szCs w:val="20"/>
                <w:u w:val="single"/>
              </w:rPr>
              <w:t>avismedcentr@mail.ru</w:t>
            </w:r>
            <w:r>
              <w:rPr>
                <w:rStyle w:val="16"/>
                <w:rFonts w:hint="default" w:ascii="Times New Roman" w:hAnsi="Times New Roman" w:cs="Times New Roman"/>
                <w:color w:val="0000FF"/>
                <w:sz w:val="20"/>
                <w:szCs w:val="20"/>
                <w:u w:val="single"/>
              </w:rPr>
              <w:fldChar w:fldCharType="end"/>
            </w:r>
            <w:r>
              <w:rPr>
                <w:rStyle w:val="14"/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;, </w:t>
            </w:r>
            <w:r>
              <w:rPr>
                <w:rStyle w:val="14"/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сайт</w:t>
            </w:r>
            <w:r>
              <w:rPr>
                <w:rStyle w:val="14"/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instrText xml:space="preserve"> HYPERLINK "http://aviscenter.ru" </w:instrTex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Style w:val="17"/>
                <w:rFonts w:hint="default" w:ascii="Times New Roman" w:hAnsi="Times New Roman" w:cs="Times New Roman"/>
                <w:color w:val="0000FF"/>
                <w:sz w:val="20"/>
                <w:szCs w:val="20"/>
              </w:rPr>
              <w:t>http://aviscenter.ru</w:t>
            </w:r>
            <w:r>
              <w:rPr>
                <w:rStyle w:val="17"/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  <w:p>
            <w:pPr>
              <w:pStyle w:val="7"/>
              <w:spacing w:after="0"/>
              <w:ind w:firstLine="357"/>
              <w:jc w:val="center"/>
              <w:rPr>
                <w:sz w:val="16"/>
                <w:szCs w:val="16"/>
              </w:rPr>
            </w:pPr>
            <w:r>
              <w:rPr>
                <w:rStyle w:val="5"/>
                <w:color w:val="auto"/>
                <w:sz w:val="18"/>
                <w:szCs w:val="18"/>
              </w:rPr>
              <w:t>___________________________________________________________________________________</w:t>
            </w:r>
          </w:p>
        </w:tc>
      </w:tr>
    </w:tbl>
    <w:p>
      <w:pPr>
        <w:jc w:val="both"/>
      </w:pPr>
    </w:p>
    <w:p>
      <w:pPr>
        <w:rPr>
          <w:b/>
          <w:color w:val="000000"/>
        </w:rPr>
      </w:pPr>
      <w:r>
        <w:rPr>
          <w:b/>
          <w:color w:val="000000"/>
        </w:rPr>
        <w:t>Медицинский центр строго руководствуется:</w:t>
      </w:r>
    </w:p>
    <w:p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1.Федеральным законом «Об основах охраны здоровья граждан в РФ» № 323-ФЗ от 21.11.2011г</w:t>
      </w:r>
      <w:r>
        <w:rPr>
          <w:rFonts w:hint="default"/>
          <w:color w:val="000000"/>
          <w:sz w:val="20"/>
          <w:szCs w:val="20"/>
          <w:lang w:val="ru-RU"/>
        </w:rPr>
        <w:t>. (ред. от 24.07.2023г.)</w:t>
      </w:r>
      <w:r>
        <w:rPr>
          <w:color w:val="000000"/>
          <w:sz w:val="20"/>
          <w:szCs w:val="20"/>
        </w:rPr>
        <w:t>, ст. 19, 20, 21</w:t>
      </w:r>
    </w:p>
    <w:p>
      <w:pPr>
        <w:jc w:val="both"/>
        <w:rPr>
          <w:rFonts w:hint="default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2.Законом РФ «О защите прав потребителей», 07.02.1992 г  № 2300-1</w:t>
      </w:r>
      <w:r>
        <w:rPr>
          <w:rFonts w:hint="default"/>
          <w:color w:val="000000"/>
          <w:sz w:val="20"/>
          <w:szCs w:val="20"/>
          <w:lang w:val="ru-RU"/>
        </w:rPr>
        <w:t xml:space="preserve"> (ред. от 05.12.2022г.)</w:t>
      </w:r>
    </w:p>
    <w:p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3.Постановлением  Правительства РФ «Об утверждении правил предоставления медицинскими организациями платных медицинских услуг» от </w:t>
      </w:r>
      <w:r>
        <w:rPr>
          <w:rFonts w:hint="default"/>
          <w:color w:val="000000"/>
          <w:sz w:val="20"/>
          <w:szCs w:val="20"/>
          <w:lang w:val="ru-RU"/>
        </w:rPr>
        <w:t>11.05.2023</w:t>
      </w:r>
      <w:r>
        <w:rPr>
          <w:color w:val="000000"/>
          <w:sz w:val="20"/>
          <w:szCs w:val="20"/>
        </w:rPr>
        <w:t>г. №</w:t>
      </w:r>
      <w:r>
        <w:rPr>
          <w:rFonts w:hint="default"/>
          <w:color w:val="000000"/>
          <w:sz w:val="20"/>
          <w:szCs w:val="20"/>
          <w:lang w:val="ru-RU"/>
        </w:rPr>
        <w:t>736</w:t>
      </w:r>
    </w:p>
    <w:p>
      <w:pPr>
        <w:pStyle w:val="11"/>
        <w:numPr>
          <w:ilvl w:val="0"/>
          <w:numId w:val="0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>
        <w:rPr>
          <w:rFonts w:hint="default"/>
          <w:color w:val="000000"/>
          <w:sz w:val="20"/>
          <w:szCs w:val="20"/>
        </w:rPr>
        <w:t>Приказ Минздрава России от 12.11.2021 N 1051н 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 формы отказа от медицинского вмешательства"</w:t>
      </w:r>
      <w:r>
        <w:rPr>
          <w:rFonts w:hint="default"/>
          <w:color w:val="000000"/>
          <w:sz w:val="20"/>
          <w:szCs w:val="20"/>
          <w:lang w:val="ru-RU"/>
        </w:rPr>
        <w:t>.</w:t>
      </w:r>
    </w:p>
    <w:p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ИНФОРМИРОВАННОЕ ДОБРОВОЛЬНОН СОГЛАСИЕ</w:t>
      </w:r>
    </w:p>
    <w:p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проведение медицинского вмешательства</w:t>
      </w:r>
    </w:p>
    <w:p>
      <w:pPr>
        <w:jc w:val="center"/>
        <w:rPr>
          <w:b/>
          <w:sz w:val="22"/>
          <w:szCs w:val="22"/>
          <w:u w:val="single"/>
        </w:rPr>
      </w:pPr>
    </w:p>
    <w:p>
      <w:pPr>
        <w:pStyle w:val="11"/>
        <w:ind w:left="0" w:right="-284"/>
      </w:pPr>
      <w:r>
        <w:rPr>
          <w:snapToGrid w:val="0"/>
        </w:rPr>
        <w:t xml:space="preserve">г. </w:t>
      </w:r>
      <w:r>
        <w:rPr>
          <w:snapToGrid w:val="0"/>
          <w:lang w:val="ru-RU"/>
        </w:rPr>
        <w:t>Сестрорецк</w:t>
      </w:r>
      <w:r>
        <w:rPr>
          <w:rFonts w:hint="default"/>
          <w:snapToGrid w:val="0"/>
          <w:lang w:val="ru-RU"/>
        </w:rPr>
        <w:t xml:space="preserve">             </w:t>
      </w:r>
      <w:bookmarkStart w:id="0" w:name="_GoBack"/>
      <w:bookmarkEnd w:id="0"/>
      <w:r>
        <w:rPr>
          <w:snapToGrid w:val="0"/>
        </w:rPr>
        <w:t xml:space="preserve">                                                            ______     _____________ 20________</w:t>
      </w:r>
    </w:p>
    <w:p>
      <w:pPr>
        <w:jc w:val="both"/>
        <w:rPr>
          <w:sz w:val="18"/>
          <w:szCs w:val="18"/>
        </w:rPr>
      </w:pPr>
    </w:p>
    <w:p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пациента.</w:t>
      </w:r>
    </w:p>
    <w:p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Этот документ свидетельствует о том, что мне сообщена, разъяснена и понятна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вся необходимая информация о предстоящем лечении и что я согласен (согласна) с названными условиями его проведения. 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Я ______________________________________________ соглашаюсь с тем, что мое лечение будет проводить врач стоматолог_________________________________________________</w:t>
      </w:r>
    </w:p>
    <w:p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исключительных случаях (например, болезнь врача) Медицинский центр может заменить врача, предварительно уведомив меня об этом и получив мое согласие.</w:t>
      </w:r>
    </w:p>
    <w:p>
      <w:pPr>
        <w:ind w:firstLine="708"/>
        <w:jc w:val="both"/>
        <w:rPr>
          <w:b/>
          <w:sz w:val="20"/>
          <w:szCs w:val="20"/>
        </w:rPr>
      </w:pPr>
    </w:p>
    <w:p>
      <w:pPr>
        <w:jc w:val="center"/>
        <w:rPr>
          <w:b/>
          <w:sz w:val="22"/>
          <w:szCs w:val="22"/>
        </w:rPr>
      </w:pPr>
    </w:p>
    <w:p>
      <w:pPr>
        <w:pStyle w:val="11"/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При</w:t>
      </w:r>
      <w:r>
        <w:rPr>
          <w:rFonts w:hint="default"/>
          <w:b/>
          <w:sz w:val="22"/>
          <w:szCs w:val="22"/>
          <w:lang w:val="ru-RU"/>
        </w:rPr>
        <w:t xml:space="preserve"> </w:t>
      </w:r>
      <w:r>
        <w:rPr>
          <w:rFonts w:hint="default"/>
          <w:b/>
          <w:sz w:val="22"/>
          <w:szCs w:val="22"/>
          <w:u w:val="single"/>
          <w:lang w:val="ru-RU"/>
        </w:rPr>
        <w:t>х</w:t>
      </w:r>
      <w:r>
        <w:rPr>
          <w:b/>
          <w:sz w:val="22"/>
          <w:szCs w:val="22"/>
          <w:u w:val="single"/>
        </w:rPr>
        <w:t>ирургическо</w:t>
      </w:r>
      <w:r>
        <w:rPr>
          <w:b/>
          <w:sz w:val="22"/>
          <w:szCs w:val="22"/>
          <w:u w:val="single"/>
          <w:lang w:val="ru-RU"/>
        </w:rPr>
        <w:t>м</w:t>
      </w:r>
      <w:r>
        <w:rPr>
          <w:b/>
          <w:sz w:val="22"/>
          <w:szCs w:val="22"/>
          <w:u w:val="single"/>
        </w:rPr>
        <w:t xml:space="preserve"> лечени</w:t>
      </w:r>
      <w:r>
        <w:rPr>
          <w:b/>
          <w:sz w:val="22"/>
          <w:szCs w:val="22"/>
          <w:u w:val="single"/>
          <w:lang w:val="ru-RU"/>
        </w:rPr>
        <w:t>и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lang w:val="ru-RU"/>
        </w:rPr>
        <w:t>При</w:t>
      </w:r>
      <w:r>
        <w:rPr>
          <w:rFonts w:hint="default"/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и</w:t>
      </w:r>
      <w:r>
        <w:rPr>
          <w:b/>
          <w:sz w:val="22"/>
          <w:szCs w:val="22"/>
        </w:rPr>
        <w:t>мплантаци</w:t>
      </w:r>
      <w:r>
        <w:rPr>
          <w:b/>
          <w:sz w:val="22"/>
          <w:szCs w:val="22"/>
          <w:lang w:val="ru-RU"/>
        </w:rPr>
        <w:t>и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lang w:val="ru-RU"/>
        </w:rPr>
        <w:t>При</w:t>
      </w:r>
      <w:r>
        <w:rPr>
          <w:rFonts w:hint="default"/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</w:t>
      </w:r>
      <w:r>
        <w:rPr>
          <w:b/>
          <w:sz w:val="22"/>
          <w:szCs w:val="22"/>
        </w:rPr>
        <w:t>арадонтологическо</w:t>
      </w:r>
      <w:r>
        <w:rPr>
          <w:b/>
          <w:sz w:val="22"/>
          <w:szCs w:val="22"/>
          <w:lang w:val="ru-RU"/>
        </w:rPr>
        <w:t>м</w:t>
      </w:r>
      <w:r>
        <w:rPr>
          <w:b/>
          <w:sz w:val="22"/>
          <w:szCs w:val="22"/>
        </w:rPr>
        <w:t xml:space="preserve"> лечени</w:t>
      </w:r>
      <w:r>
        <w:rPr>
          <w:b/>
          <w:sz w:val="22"/>
          <w:szCs w:val="22"/>
          <w:lang w:val="ru-RU"/>
        </w:rPr>
        <w:t>и</w:t>
      </w:r>
      <w:r>
        <w:rPr>
          <w:b/>
          <w:sz w:val="22"/>
          <w:szCs w:val="22"/>
        </w:rPr>
        <w:t>.</w:t>
      </w:r>
    </w:p>
    <w:p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Диагноз, допустимость уточнения диагноза в процессе лечения.</w:t>
      </w:r>
    </w:p>
    <w:p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Индивидуальный рекомендуемый план лечения.</w:t>
      </w:r>
    </w:p>
    <w:p>
      <w:pPr>
        <w:pStyle w:val="11"/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Допустимость коррекции составленного плана и технологий лечения в зависимости от ситуации, сложившейся в процессе его проведения, о чем меня уведомит врач.</w:t>
      </w:r>
    </w:p>
    <w:p>
      <w:pPr>
        <w:pStyle w:val="11"/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Возможные альтернативные варианты лечения.</w:t>
      </w:r>
    </w:p>
    <w:p>
      <w:pPr>
        <w:pStyle w:val="7"/>
        <w:numPr>
          <w:ilvl w:val="1"/>
          <w:numId w:val="2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Возможные негативные последствия отказа от рекомендованного плана лечения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частичного его выполнения, а именно: </w:t>
      </w:r>
    </w:p>
    <w:p>
      <w:pPr>
        <w:pStyle w:val="7"/>
        <w:numPr>
          <w:ilvl w:val="2"/>
          <w:numId w:val="2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При удалении зуба(ов): прогрессирование заболевания; развитие инфекционных осложнений; появление либо нарастание болевых ощущений; потеря зуба; нарушения общего состояния организма.</w:t>
      </w:r>
    </w:p>
    <w:p>
      <w:pPr>
        <w:pStyle w:val="7"/>
        <w:numPr>
          <w:ilvl w:val="2"/>
          <w:numId w:val="2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При имплантации: воспаление костной  ткани; атрофия костной ткани; воспаление десны; подвижность зубов, что может привести к необходимости их удаления; патология височно-нижнечелюстного сустава; головные боли; иррадирующие боли в шею сзади и в мышцы лица; утомляемость жевательных мышц;</w:t>
      </w:r>
    </w:p>
    <w:p>
      <w:pPr>
        <w:pStyle w:val="7"/>
        <w:numPr>
          <w:ilvl w:val="2"/>
          <w:numId w:val="2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При парадонтологическом лечении: прогрессирование заболевания; развитие инфекционных осложнений; появление либо нарастание болевых ощущений; потеря зуба (зубов); системные проявления заболевания</w:t>
      </w:r>
    </w:p>
    <w:p>
      <w:pPr>
        <w:pStyle w:val="11"/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Возможные осложнения  на этапах и после лечения,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а именно:</w:t>
      </w:r>
    </w:p>
    <w:p>
      <w:pPr>
        <w:pStyle w:val="7"/>
        <w:numPr>
          <w:ilvl w:val="2"/>
          <w:numId w:val="3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Под влиянием анестезии, а именно: отек мягких тканей, кровоизлияние в месте вкола, снижение внимания, аллергические реакции;</w:t>
      </w:r>
    </w:p>
    <w:p>
      <w:pPr>
        <w:pStyle w:val="7"/>
        <w:numPr>
          <w:ilvl w:val="2"/>
          <w:numId w:val="3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Последствия приема аналгетиков и антибиотиков (в случаях их назначения), а именно: аллергические реакции; изменения витаминного и иммунологического балансов; нарушение состава кишечной микрофлоры;</w:t>
      </w:r>
    </w:p>
    <w:p>
      <w:pPr>
        <w:pStyle w:val="7"/>
        <w:numPr>
          <w:ilvl w:val="2"/>
          <w:numId w:val="3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 процессе лечения – дискомфорт, боль, отек (припухлость) десны и мягких тканей; кровотечение, после чего для выздоровления может потребоваться несколько дней; образование гематомы; повреждение соседних зубов и пломб; появление или усиление подвижности зуба (зубов); увеличение атрофии альвеолярного отростка челюсти; обнажение корня зуба; натяжение уголков рта, с последующим появлением трещин; повреждение нерва, приводящее к онемению или подергиванию губы, онемению подбородка, десен, зубов, языка в оперированном участке (это может продлиться несколько месяцев или остаться постоянным); инфекция или изменения цвета слизистой оболочки полости рта и десны; воспаление вен</w:t>
      </w:r>
      <w:r>
        <w:rPr>
          <w:rFonts w:hint="default"/>
          <w:sz w:val="22"/>
          <w:szCs w:val="22"/>
          <w:lang w:val="ru-RU"/>
        </w:rPr>
        <w:t>,</w:t>
      </w:r>
      <w:r>
        <w:rPr>
          <w:sz w:val="22"/>
          <w:szCs w:val="22"/>
        </w:rPr>
        <w:t xml:space="preserve"> перелом челюсти; открытие гайморовой пазухи, что потребует проведения дополнительной операции; вывих или подвывих нижней челюсти;; </w:t>
      </w:r>
    </w:p>
    <w:p>
      <w:pPr>
        <w:pStyle w:val="7"/>
        <w:numPr>
          <w:ilvl w:val="2"/>
          <w:numId w:val="3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лечения – воспаление, требующее дополнительного лечения; ограничение открывания рта в течение нескольких дней или недель; оставление небольшого кусочка корня зуба в челюсти, чтобы не проводить обширную операцию; </w:t>
      </w:r>
    </w:p>
    <w:p>
      <w:pPr>
        <w:pStyle w:val="7"/>
        <w:numPr>
          <w:ilvl w:val="2"/>
          <w:numId w:val="4"/>
        </w:numPr>
        <w:tabs>
          <w:tab w:val="left" w:pos="709"/>
        </w:tabs>
        <w:spacing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>После проведения хирургического этапа имплантации (вживления имплантата и заживления десны) последует ортопедический этап (т.е. установка коронки или протеза – по ситуации и в соответствии с дополнительным планом), который в моих интересах желательно осуществлять в данной клинике.</w:t>
      </w:r>
    </w:p>
    <w:p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  <w:r>
        <w:rPr>
          <w:color w:val="FF0000"/>
          <w:sz w:val="22"/>
          <w:szCs w:val="22"/>
        </w:rPr>
        <w:t>.</w:t>
      </w:r>
    </w:p>
    <w:p>
      <w:pPr>
        <w:pStyle w:val="7"/>
        <w:numPr>
          <w:ilvl w:val="1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Мне сообщена, разъяснена врачом и понятна информация о гарантиях.</w:t>
      </w:r>
    </w:p>
    <w:p>
      <w:pPr>
        <w:pStyle w:val="7"/>
        <w:tabs>
          <w:tab w:val="left" w:pos="-1418"/>
        </w:tabs>
        <w:spacing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>2.1.1.  При проведении имплантации гарантии на приживление имплантата не даются, невозможно предсказать успешность его приживления по причине медицинской специфики данной операции, особенностей десен и костной ткани пациента и реакций организма. В случае отторжения имплантата, что потребует его удаления  до  начала протезирования, фирма возвращает 50% от суммы за установление имплантата.</w:t>
      </w:r>
    </w:p>
    <w:p>
      <w:pPr>
        <w:pStyle w:val="7"/>
        <w:tabs>
          <w:tab w:val="left" w:pos="-1418"/>
        </w:tabs>
        <w:spacing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2.1.2.  </w:t>
      </w:r>
      <w:r>
        <w:rPr>
          <w:bCs/>
          <w:sz w:val="22"/>
          <w:szCs w:val="22"/>
        </w:rPr>
        <w:t>Сложность предсказания конкретного результата планируемого лечения или обозначения сроков гарантий по причине медицинской специфики пародонтологического лечения и индивидуальных особенностей организма каждого пациента.</w:t>
      </w:r>
    </w:p>
    <w:p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Мне названы и со мной согласованы технологии (методы), которые будут использованы в процессе лечения, сроки проведения лечения.</w:t>
      </w:r>
    </w:p>
    <w:p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Мне сообщено и понятно, что условием эффективного лечения является выполнение мною плана индивидуальных профилактических мероприятий, рекомендованного плана лечения.</w:t>
      </w:r>
    </w:p>
    <w:p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Мне сообщено и понятно, что для эффективного лечения могут понадобиться дополнительные обследования, такие как ортопантомограмма, прицельный снимок, компьютерную томографию челюстно-лицевой области, консультация стоматолога(ов) другого профиля, врача(ей) общего медицинского профиля.</w:t>
      </w:r>
    </w:p>
    <w:p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Мною были заданы все интересующие меня вопросы о сути и условиях лечения и были получены исчерпывающие ответы, разъяснения. </w:t>
      </w:r>
    </w:p>
    <w:p>
      <w:pPr>
        <w:numPr>
          <w:ilvl w:val="1"/>
          <w:numId w:val="2"/>
        </w:numPr>
        <w:tabs>
          <w:tab w:val="left" w:pos="495"/>
        </w:tabs>
        <w:ind w:left="426" w:leftChars="0" w:hanging="426" w:firstLineChars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Я</w:t>
      </w:r>
      <w:r>
        <w:rPr>
          <w:rFonts w:hint="default"/>
          <w:sz w:val="22"/>
          <w:szCs w:val="22"/>
          <w:lang w:val="ru-RU"/>
        </w:rPr>
        <w:t xml:space="preserve"> осознаю, что невозможно предсказать течение реабилитационного периода и длительность лечения. Мне разъяснено, сто при неблагоприятном течении воспалительного процесса возможно лечение в стационаре.</w:t>
      </w:r>
    </w:p>
    <w:p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Я внимательно ознакомился (ознакомилась) с данным документом, имеющим юридическую силу и являющуюся неотъемлемой частью медицинской карты пациента.</w:t>
      </w:r>
    </w:p>
    <w:p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Я принимаю решение приступить к лечению на предложенных условиях.</w:t>
      </w:r>
    </w:p>
    <w:p>
      <w:pPr>
        <w:jc w:val="both"/>
        <w:rPr>
          <w:sz w:val="22"/>
          <w:szCs w:val="22"/>
        </w:rPr>
      </w:pPr>
    </w:p>
    <w:p>
      <w:pPr>
        <w:ind w:left="450"/>
        <w:rPr>
          <w:snapToGrid w:val="0"/>
        </w:rPr>
      </w:pPr>
      <w:r>
        <w:rPr>
          <w:snapToGrid w:val="0"/>
        </w:rPr>
        <w:t>Пациент_____________________________________   ___________________</w:t>
      </w:r>
    </w:p>
    <w:p>
      <w:pPr>
        <w:ind w:left="450"/>
        <w:rPr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 (Ф.И.О.)                                                               (подпись)</w:t>
      </w:r>
    </w:p>
    <w:p>
      <w:pPr>
        <w:ind w:left="450"/>
        <w:rPr>
          <w:snapToGrid w:val="0"/>
        </w:rPr>
      </w:pPr>
      <w:r>
        <w:rPr>
          <w:snapToGrid w:val="0"/>
        </w:rPr>
        <w:t>Врач       _____________________________________   ___________________</w:t>
      </w:r>
    </w:p>
    <w:p>
      <w:pPr>
        <w:ind w:left="450"/>
        <w:rPr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 (Ф.И.О.)                                                               (подпись)</w:t>
      </w:r>
    </w:p>
    <w:p>
      <w:pPr>
        <w:jc w:val="both"/>
        <w:rPr>
          <w:color w:val="548DD4"/>
          <w:sz w:val="20"/>
          <w:szCs w:val="20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pStyle w:val="8"/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sectPr>
      <w:pgSz w:w="11906" w:h="16838"/>
      <w:pgMar w:top="709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ngs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124F3A"/>
    <w:multiLevelType w:val="multilevel"/>
    <w:tmpl w:val="43124F3A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sz w:val="22"/>
        <w:szCs w:val="22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DBD5B84"/>
    <w:multiLevelType w:val="multilevel"/>
    <w:tmpl w:val="5DBD5B84"/>
    <w:lvl w:ilvl="0" w:tentative="0">
      <w:start w:val="1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 w:tentative="0">
      <w:start w:val="6"/>
      <w:numFmt w:val="decimal"/>
      <w:lvlText w:val="%1.%2"/>
      <w:lvlJc w:val="left"/>
      <w:pPr>
        <w:ind w:left="480" w:hanging="480"/>
      </w:pPr>
      <w:rPr>
        <w:rFonts w:hint="default"/>
        <w:u w:val="single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  <w:lang w:val="ru-RU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2">
    <w:nsid w:val="731F44ED"/>
    <w:multiLevelType w:val="multilevel"/>
    <w:tmpl w:val="731F44ED"/>
    <w:lvl w:ilvl="0" w:tentative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0">
      <w:start w:val="6"/>
      <w:numFmt w:val="decimal"/>
      <w:lvlText w:val="%1.%2."/>
      <w:lvlJc w:val="left"/>
      <w:pPr>
        <w:ind w:left="780" w:hanging="540"/>
      </w:pPr>
      <w:rPr>
        <w:rFonts w:hint="default"/>
      </w:rPr>
    </w:lvl>
    <w:lvl w:ilvl="2" w:tentative="0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>
    <w:nsid w:val="78314D65"/>
    <w:multiLevelType w:val="multilevel"/>
    <w:tmpl w:val="78314D6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F5"/>
    <w:rsid w:val="000963D3"/>
    <w:rsid w:val="000E12CD"/>
    <w:rsid w:val="000E31A8"/>
    <w:rsid w:val="001A1234"/>
    <w:rsid w:val="001E377E"/>
    <w:rsid w:val="00231C7F"/>
    <w:rsid w:val="0060309C"/>
    <w:rsid w:val="00635AB8"/>
    <w:rsid w:val="00647C3A"/>
    <w:rsid w:val="006560CB"/>
    <w:rsid w:val="00762AF3"/>
    <w:rsid w:val="00793363"/>
    <w:rsid w:val="007D019E"/>
    <w:rsid w:val="008374F9"/>
    <w:rsid w:val="00951DF0"/>
    <w:rsid w:val="0099461C"/>
    <w:rsid w:val="00995306"/>
    <w:rsid w:val="009A14B7"/>
    <w:rsid w:val="009F5694"/>
    <w:rsid w:val="009F70F5"/>
    <w:rsid w:val="00C627A7"/>
    <w:rsid w:val="00CB2B44"/>
    <w:rsid w:val="00CB4E61"/>
    <w:rsid w:val="00D24BF7"/>
    <w:rsid w:val="00DD3084"/>
    <w:rsid w:val="00E41CE5"/>
    <w:rsid w:val="00F0507A"/>
    <w:rsid w:val="00F70E78"/>
    <w:rsid w:val="00FA6679"/>
    <w:rsid w:val="1ED90C43"/>
    <w:rsid w:val="27C37AAC"/>
    <w:rsid w:val="49C6408E"/>
    <w:rsid w:val="5F3214C1"/>
    <w:rsid w:val="64B95BEE"/>
    <w:rsid w:val="6AE87501"/>
    <w:rsid w:val="767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jc w:val="center"/>
      <w:outlineLvl w:val="0"/>
    </w:pPr>
    <w:rPr>
      <w:b/>
      <w:i/>
      <w:sz w:val="28"/>
      <w:szCs w:val="20"/>
      <w:u w:val="single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9"/>
    <w:unhideWhenUsed/>
    <w:qFormat/>
    <w:uiPriority w:val="99"/>
    <w:pPr>
      <w:spacing w:after="120"/>
    </w:pPr>
    <w:rPr>
      <w:rFonts w:eastAsia="MS Minngs"/>
      <w:sz w:val="28"/>
      <w:szCs w:val="20"/>
    </w:rPr>
  </w:style>
  <w:style w:type="paragraph" w:styleId="8">
    <w:name w:val="footer"/>
    <w:basedOn w:val="1"/>
    <w:link w:val="13"/>
    <w:semiHidden/>
    <w:qFormat/>
    <w:uiPriority w:val="0"/>
    <w:pPr>
      <w:tabs>
        <w:tab w:val="center" w:pos="4677"/>
        <w:tab w:val="right" w:pos="9355"/>
      </w:tabs>
    </w:pPr>
  </w:style>
  <w:style w:type="character" w:customStyle="1" w:styleId="9">
    <w:name w:val="Основной текст Знак"/>
    <w:basedOn w:val="3"/>
    <w:link w:val="7"/>
    <w:qFormat/>
    <w:uiPriority w:val="99"/>
    <w:rPr>
      <w:rFonts w:ascii="Times New Roman" w:hAnsi="Times New Roman" w:eastAsia="MS Minngs" w:cs="Times New Roman"/>
      <w:sz w:val="28"/>
      <w:szCs w:val="20"/>
    </w:rPr>
  </w:style>
  <w:style w:type="character" w:customStyle="1" w:styleId="10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b/>
      <w:i/>
      <w:sz w:val="28"/>
      <w:szCs w:val="20"/>
      <w:u w:val="single"/>
      <w:lang w:eastAsia="ru-RU"/>
    </w:rPr>
  </w:style>
  <w:style w:type="character" w:customStyle="1" w:styleId="13">
    <w:name w:val="Нижний колонтитул Знак"/>
    <w:basedOn w:val="3"/>
    <w:link w:val="8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Нет A"/>
    <w:qFormat/>
    <w:uiPriority w:val="0"/>
  </w:style>
  <w:style w:type="paragraph" w:customStyle="1" w:styleId="15">
    <w:name w:val="Text_02"/>
    <w:qFormat/>
    <w:uiPriority w:val="0"/>
    <w:pPr>
      <w:widowControl/>
      <w:tabs>
        <w:tab w:val="right" w:leader="underscore" w:pos="6662"/>
      </w:tabs>
      <w:bidi w:val="0"/>
      <w:spacing w:line="200" w:lineRule="exact"/>
      <w:jc w:val="both"/>
    </w:pPr>
    <w:rPr>
      <w:rFonts w:ascii="Times New Roman" w:hAnsi="Times New Roman" w:eastAsia="Arial Unicode MS" w:cs="Arial Unicode MS"/>
      <w:color w:val="000000"/>
      <w:kern w:val="0"/>
      <w:sz w:val="21"/>
      <w:szCs w:val="21"/>
      <w:u w:val="none" w:color="000000"/>
      <w:lang w:val="en-US" w:eastAsia="ru-RU" w:bidi="ar-SA"/>
    </w:rPr>
  </w:style>
  <w:style w:type="character" w:customStyle="1" w:styleId="16">
    <w:name w:val="Hyperlink.0"/>
    <w:basedOn w:val="14"/>
    <w:qFormat/>
    <w:uiPriority w:val="0"/>
    <w:rPr>
      <w:color w:val="0000FF"/>
      <w:u w:val="none" w:color="0000FF"/>
      <w:lang w:val="en-US"/>
    </w:rPr>
  </w:style>
  <w:style w:type="character" w:customStyle="1" w:styleId="17">
    <w:name w:val="Hyperlink.1"/>
    <w:basedOn w:val="14"/>
    <w:qFormat/>
    <w:uiPriority w:val="0"/>
    <w:rPr>
      <w:color w:val="0000FF"/>
      <w:u w:val="single" w:color="0000FF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1F4A-039D-4545-ADB4-60B433AC8B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1003</Words>
  <Characters>5722</Characters>
  <Lines>47</Lines>
  <Paragraphs>13</Paragraphs>
  <TotalTime>0</TotalTime>
  <ScaleCrop>false</ScaleCrop>
  <LinksUpToDate>false</LinksUpToDate>
  <CharactersWithSpaces>6712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2020-09-18T15:21:00Z</dcterms:created>
  <dc:creator>1</dc:creator>
  <cp:lastModifiedBy>avism</cp:lastModifiedBy>
  <cp:lastPrinted>2019-09-05T05:21:00Z</cp:lastPrinted>
  <dcterms:modified xsi:type="dcterms:W3CDTF">2023-08-31T14:25:18Z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5E979C341C93404298259ACE73B05FE8</vt:lpwstr>
  </property>
</Properties>
</file>